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苏银理财恒源1年定开2003期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（2026年7月版）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等。请仔细阅读《“苏银理财恒源1年定开2003期”理财产品风险揭示书》的“风险揭示”部分。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苏银理财恒源1年定开2003期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Z7003121000200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A份额:苏银理财恒源1年定开2003期A/J201606SA201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B份额:苏银理财恒源1年定开2003期B/J02438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C份额:苏银理财恒源1年定开2003期C/J24305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D份额:苏银理财恒源1年定开2003期D/J03359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F份额:苏银理财恒源1年定开2003期F/J02439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G份额:苏银理财恒源1年定开2003期G/J02440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J份额:苏银理财恒源1年定开2003期J/J03360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M份额:苏银理财恒源1年定开2003期M/J03361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P份额:苏银理财恒源1年定开2003期P/J04847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W份额:苏银理财恒源1年定开2003期W/J04853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GRC份额:苏银理财恒源1年定开2003期GRC（广州农商银行专属）/J24306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GS份额:苏银理财恒源1年定开2003期GS/J24307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S份额:苏银理财恒源1年定开2003期S（专享）/J24308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U份额:苏银理财恒源1年定开2003期U/J24309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L份额:苏银理财恒源1年定开2003期L/J24310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Z份额:苏银理财恒源1年定开2003期Z/J24311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Z1份额:苏银理财恒源1年定开2003期Z1/J24312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Z2份额:苏银理财恒源1年定开2003期Z2/J24313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ZA份额:苏银理财恒源1年定开2003期ZA鑫福款（自动赎回）/J02442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ZF份额:苏银理财恒源1年定开2003期ZF（自动赎回）/J02443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ZF2份额:苏银理财恒源1年定开2003期ZF2（自动赎回）/J24314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ZF3份额:苏银理财恒源1年定开2003期ZF3（自动赎回）/J24315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ZF4份额:苏银理财恒源1年定开2003期ZF4（自动赎回）/J24316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ZF5份额:苏银理财恒源1年定开2003期ZF5（自动赎回）/J24317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ZJ份额:苏银理财恒源1年定开2003期ZJ（自动赎回）/J24318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ZL份额:苏银理财恒源1年定开2003期ZL（自动赎回）/J24319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天府·优选份额:苏银理财恒源1年定开2003期（天府·优选）/J24320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ZN份额:苏银理财恒源1年定开2003期ZN（自动赎回）/J04849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ZQ份额:苏银理财恒源1年定开2003期ZQ（自动赎回）/J04850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ZC份额:苏银理财恒源1年定开2003期ZC鑫福优享（自动赎回）/J24321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ZK份额:苏银理财恒源1年定开2003期ZK鑫福尊享（自动赎回）/J24322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val="0"/>
                      <w:bCs/>
                      <w:color w:val="auto"/>
                      <w:kern w:val="0"/>
                      <w:sz w:val="18"/>
                      <w:szCs w:val="18"/>
                      <w:highlight w:val="none"/>
                    </w:rPr>
                  </w:pPr>
                  <w:r>
                    <w:rPr>
                      <w:rFonts w:hint="eastAsia" w:ascii="楷体" w:hAnsi="楷体" w:eastAsia="楷体" w:cs="浠垮畫"/>
                      <w:b w:val="0"/>
                      <w:bCs/>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val="0"/>
                      <w:bCs/>
                      <w:color w:val="auto"/>
                      <w:kern w:val="0"/>
                      <w:sz w:val="18"/>
                      <w:szCs w:val="18"/>
                      <w:highlight w:val="none"/>
                    </w:rPr>
                  </w:pPr>
                  <w:r>
                    <w:rPr>
                      <w:rFonts w:hint="eastAsia" w:ascii="楷体" w:hAnsi="楷体" w:eastAsia="楷体" w:cs="浠垮畫"/>
                      <w:b w:val="0"/>
                      <w:bCs/>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val="0"/>
                      <w:bCs/>
                      <w:color w:val="auto"/>
                      <w:kern w:val="0"/>
                      <w:sz w:val="18"/>
                      <w:szCs w:val="18"/>
                      <w:highlight w:val="none"/>
                    </w:rPr>
                  </w:pPr>
                  <w:r>
                    <w:rPr>
                      <w:rFonts w:hint="eastAsia" w:ascii="楷体" w:hAnsi="楷体" w:eastAsia="楷体" w:cs="浠垮畫"/>
                      <w:b w:val="0"/>
                      <w:bCs/>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val="0"/>
                      <w:bCs/>
                      <w:color w:val="auto"/>
                      <w:kern w:val="0"/>
                      <w:sz w:val="18"/>
                      <w:szCs w:val="18"/>
                      <w:highlight w:val="none"/>
                    </w:rPr>
                  </w:pPr>
                  <w:r>
                    <w:rPr>
                      <w:rFonts w:hint="eastAsia" w:ascii="楷体" w:hAnsi="楷体" w:eastAsia="楷体" w:cs="浠垮畫"/>
                      <w:b w:val="0"/>
                      <w:bCs/>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GRC份额:1元/1元的整数倍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ZF3份额:1元/1元的整数倍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ZF4份额:1000元/1000元的整数倍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ZF5份额:1元/1元的整数倍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天府·优选份额:1元/1元的整数倍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2020年6月11日至2020年6月15日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2020年6月16日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2030年6月20日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最新投资周期（2026年7月29日-2027年8月19日）开放申购与赎回时间为：2026年7月20日至2026年7月28日</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val="0"/>
                <w:bCs w:val="0"/>
                <w:spacing w:val="-2"/>
                <w:sz w:val="18"/>
                <w:szCs w:val="18"/>
                <w:highlight w:val="none"/>
              </w:rPr>
              <w:t>以各销售机构设置的时间为准</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(其中ZA份额/ZF份额/ZF2份额/ZF3份额/ZF4份额/ZF5份额/ZJ份额/ZL份额/ZN份额/ZQ份额/ZC份额/ZK份额/天府·优选份额由系统主动发起赎回申请，投资者无须发起赎回申请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各类份额最新投资周期（2026年7月29日-2027年8月19日）业绩比较基准如下：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w:t>
                  </w:r>
                </w:p>
              </w:tc>
              <w:tc>
                <w:tcPr>
                  <w:tcW w:w="1871"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投资周期起始日</w:t>
                  </w:r>
                </w:p>
              </w:tc>
              <w:tc>
                <w:tcPr>
                  <w:tcW w:w="1803"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投资周期终止日</w:t>
                  </w:r>
                </w:p>
              </w:tc>
              <w:tc>
                <w:tcPr>
                  <w:tcW w:w="2701" w:type="dxa"/>
                  <w:vAlign w:val="center"/>
                </w:tcPr>
                <w:p>
                  <w:pPr>
                    <w:jc w:val="center"/>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业绩比较基准</w:t>
                  </w:r>
                </w:p>
                <w:p>
                  <w:pPr>
                    <w:jc w:val="center"/>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1</w:t>
                  </w:r>
                </w:p>
              </w:tc>
              <w:tc>
                <w:tcPr>
                  <w:tcW w:w="1871" w:type="dxa"/>
                  <w:vAlign w:val="center"/>
                </w:tcPr>
                <w:p>
                  <w:pPr>
                    <w:spacing w:before="0" w:after="0" w:line="0" w:lineRule="atLeast"/>
                    <w:jc w:val="center"/>
                  </w:pPr>
                  <w:r>
                    <w:rPr>
                      <w:rFonts w:ascii="楷体" w:hAnsi="楷体" w:eastAsia="楷体"/>
                      <w:sz w:val="18"/>
                    </w:rPr>
                    <w:t>2020年6月16日</w:t>
                  </w:r>
                </w:p>
              </w:tc>
              <w:tc>
                <w:tcPr>
                  <w:tcW w:w="1803" w:type="dxa"/>
                  <w:vAlign w:val="center"/>
                </w:tcPr>
                <w:p>
                  <w:pPr>
                    <w:spacing w:before="0" w:after="0" w:line="0" w:lineRule="atLeast"/>
                    <w:jc w:val="center"/>
                  </w:pPr>
                  <w:r>
                    <w:rPr>
                      <w:rFonts w:ascii="楷体" w:hAnsi="楷体" w:eastAsia="楷体"/>
                      <w:sz w:val="18"/>
                    </w:rPr>
                    <w:t>2021年6月14日</w:t>
                  </w:r>
                </w:p>
              </w:tc>
              <w:tc>
                <w:tcPr>
                  <w:tcW w:w="2701" w:type="dxa"/>
                  <w:vAlign w:val="center"/>
                </w:tcPr>
                <w:p>
                  <w:pPr>
                    <w:spacing w:before="0" w:after="0" w:line="0" w:lineRule="atLeast"/>
                    <w:jc w:val="center"/>
                  </w:pPr>
                  <w:r>
                    <w:rPr>
                      <w:rFonts w:ascii="楷体" w:hAnsi="楷体" w:eastAsia="楷体"/>
                      <w:sz w:val="18"/>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2</w:t>
                  </w:r>
                </w:p>
              </w:tc>
              <w:tc>
                <w:tcPr>
                  <w:tcW w:w="1871" w:type="dxa"/>
                  <w:vAlign w:val="center"/>
                </w:tcPr>
                <w:p>
                  <w:pPr>
                    <w:spacing w:before="0" w:after="0" w:line="0" w:lineRule="atLeast"/>
                    <w:jc w:val="center"/>
                  </w:pPr>
                  <w:r>
                    <w:rPr>
                      <w:rFonts w:ascii="楷体" w:hAnsi="楷体" w:eastAsia="楷体"/>
                      <w:sz w:val="18"/>
                    </w:rPr>
                    <w:t>2021年6月15日</w:t>
                  </w:r>
                </w:p>
              </w:tc>
              <w:tc>
                <w:tcPr>
                  <w:tcW w:w="1803" w:type="dxa"/>
                  <w:vAlign w:val="center"/>
                </w:tcPr>
                <w:p>
                  <w:pPr>
                    <w:spacing w:before="0" w:after="0" w:line="0" w:lineRule="atLeast"/>
                    <w:jc w:val="center"/>
                  </w:pPr>
                  <w:r>
                    <w:rPr>
                      <w:rFonts w:ascii="楷体" w:hAnsi="楷体" w:eastAsia="楷体"/>
                      <w:sz w:val="18"/>
                    </w:rPr>
                    <w:t>2022年6月14日</w:t>
                  </w:r>
                </w:p>
              </w:tc>
              <w:tc>
                <w:tcPr>
                  <w:tcW w:w="2701" w:type="dxa"/>
                  <w:vAlign w:val="center"/>
                </w:tcPr>
                <w:p>
                  <w:pPr>
                    <w:spacing w:before="0" w:after="0" w:line="0" w:lineRule="atLeast"/>
                    <w:jc w:val="center"/>
                  </w:pPr>
                  <w:r>
                    <w:rPr>
                      <w:rFonts w:ascii="楷体" w:hAnsi="楷体" w:eastAsia="楷体"/>
                      <w:sz w:val="18"/>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3</w:t>
                  </w:r>
                </w:p>
              </w:tc>
              <w:tc>
                <w:tcPr>
                  <w:tcW w:w="1871" w:type="dxa"/>
                  <w:vAlign w:val="center"/>
                </w:tcPr>
                <w:p>
                  <w:pPr>
                    <w:spacing w:before="0" w:after="0" w:line="0" w:lineRule="atLeast"/>
                    <w:jc w:val="center"/>
                  </w:pPr>
                  <w:r>
                    <w:rPr>
                      <w:rFonts w:ascii="楷体" w:hAnsi="楷体" w:eastAsia="楷体"/>
                      <w:sz w:val="18"/>
                    </w:rPr>
                    <w:t>2022年6月15日</w:t>
                  </w:r>
                </w:p>
              </w:tc>
              <w:tc>
                <w:tcPr>
                  <w:tcW w:w="1803" w:type="dxa"/>
                  <w:vAlign w:val="center"/>
                </w:tcPr>
                <w:p>
                  <w:pPr>
                    <w:spacing w:before="0" w:after="0" w:line="0" w:lineRule="atLeast"/>
                    <w:jc w:val="center"/>
                  </w:pPr>
                  <w:r>
                    <w:rPr>
                      <w:rFonts w:ascii="楷体" w:hAnsi="楷体" w:eastAsia="楷体"/>
                      <w:sz w:val="18"/>
                    </w:rPr>
                    <w:t>2023年6月13日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4</w:t>
                  </w:r>
                </w:p>
              </w:tc>
              <w:tc>
                <w:tcPr>
                  <w:tcW w:w="1871" w:type="dxa"/>
                  <w:vAlign w:val="center"/>
                </w:tcPr>
                <w:p>
                  <w:pPr>
                    <w:spacing w:before="0" w:after="0" w:line="0" w:lineRule="atLeast"/>
                    <w:jc w:val="center"/>
                  </w:pPr>
                  <w:r>
                    <w:rPr>
                      <w:rFonts w:ascii="楷体" w:hAnsi="楷体" w:eastAsia="楷体"/>
                      <w:sz w:val="18"/>
                    </w:rPr>
                    <w:t>2023年6月14日</w:t>
                  </w:r>
                </w:p>
              </w:tc>
              <w:tc>
                <w:tcPr>
                  <w:tcW w:w="1803" w:type="dxa"/>
                  <w:vAlign w:val="center"/>
                </w:tcPr>
                <w:p>
                  <w:pPr>
                    <w:spacing w:before="0" w:after="0" w:line="0" w:lineRule="atLeast"/>
                    <w:jc w:val="center"/>
                  </w:pPr>
                  <w:r>
                    <w:rPr>
                      <w:rFonts w:ascii="楷体" w:hAnsi="楷体" w:eastAsia="楷体"/>
                      <w:sz w:val="18"/>
                    </w:rPr>
                    <w:t>2024年6月19日</w:t>
                  </w:r>
                </w:p>
              </w:tc>
              <w:tc>
                <w:tcPr>
                  <w:tcW w:w="2701" w:type="dxa"/>
                  <w:vAlign w:val="center"/>
                </w:tcPr>
                <w:p>
                  <w:pPr>
                    <w:spacing w:before="0" w:after="0" w:line="0" w:lineRule="atLeast"/>
                    <w:jc w:val="center"/>
                  </w:pPr>
                  <w:r>
                    <w:rPr>
                      <w:rFonts w:ascii="楷体" w:hAnsi="楷体" w:eastAsia="楷体"/>
                      <w:sz w:val="18"/>
                    </w:rPr>
                    <w:t>A份额 4.00%</w:t>
                  </w:r>
                  <w:r>
                    <w:rPr>
                      <w:rFonts w:ascii="楷体" w:hAnsi="楷体" w:eastAsia="楷体"/>
                      <w:sz w:val="18"/>
                    </w:rPr>
                    <w:br w:type="textWrapping"/>
                  </w:r>
                  <w:r>
                    <w:rPr>
                      <w:rFonts w:ascii="楷体" w:hAnsi="楷体" w:eastAsia="楷体"/>
                      <w:sz w:val="18"/>
                    </w:rPr>
                    <w:t>B份额 4.03%</w:t>
                  </w:r>
                  <w:r>
                    <w:rPr>
                      <w:rFonts w:ascii="楷体" w:hAnsi="楷体" w:eastAsia="楷体"/>
                      <w:sz w:val="18"/>
                    </w:rPr>
                    <w:br w:type="textWrapping"/>
                  </w:r>
                  <w:r>
                    <w:rPr>
                      <w:rFonts w:ascii="楷体" w:hAnsi="楷体" w:eastAsia="楷体"/>
                      <w:sz w:val="18"/>
                    </w:rPr>
                    <w:t>F份额 4.00%</w:t>
                  </w:r>
                  <w:r>
                    <w:rPr>
                      <w:rFonts w:ascii="楷体" w:hAnsi="楷体" w:eastAsia="楷体"/>
                      <w:sz w:val="18"/>
                    </w:rPr>
                    <w:br w:type="textWrapping"/>
                  </w:r>
                  <w:r>
                    <w:rPr>
                      <w:rFonts w:ascii="楷体" w:hAnsi="楷体" w:eastAsia="楷体"/>
                      <w:sz w:val="18"/>
                    </w:rPr>
                    <w:t>G份额 4.10%</w:t>
                  </w:r>
                  <w:r>
                    <w:rPr>
                      <w:rFonts w:ascii="楷体" w:hAnsi="楷体" w:eastAsia="楷体"/>
                      <w:sz w:val="18"/>
                    </w:rPr>
                    <w:br w:type="textWrapping"/>
                  </w:r>
                  <w:r>
                    <w:rPr>
                      <w:rFonts w:ascii="楷体" w:hAnsi="楷体" w:eastAsia="楷体"/>
                      <w:sz w:val="18"/>
                    </w:rPr>
                    <w:t>X份额 4.10%</w:t>
                  </w:r>
                  <w:r>
                    <w:rPr>
                      <w:rFonts w:ascii="楷体" w:hAnsi="楷体" w:eastAsia="楷体"/>
                      <w:sz w:val="18"/>
                    </w:rPr>
                    <w:br w:type="textWrapping"/>
                  </w:r>
                  <w:r>
                    <w:rPr>
                      <w:rFonts w:ascii="楷体" w:hAnsi="楷体" w:eastAsia="楷体"/>
                      <w:sz w:val="18"/>
                    </w:rPr>
                    <w:t>ZA份额 4.00%</w:t>
                  </w:r>
                  <w:r>
                    <w:rPr>
                      <w:rFonts w:ascii="楷体" w:hAnsi="楷体" w:eastAsia="楷体"/>
                      <w:sz w:val="18"/>
                    </w:rPr>
                    <w:br w:type="textWrapping"/>
                  </w:r>
                  <w:r>
                    <w:rPr>
                      <w:rFonts w:ascii="楷体" w:hAnsi="楷体" w:eastAsia="楷体"/>
                      <w:sz w:val="18"/>
                    </w:rPr>
                    <w:t>ZF份额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5</w:t>
                  </w:r>
                </w:p>
              </w:tc>
              <w:tc>
                <w:tcPr>
                  <w:tcW w:w="1871" w:type="dxa"/>
                  <w:vAlign w:val="center"/>
                </w:tcPr>
                <w:p>
                  <w:pPr>
                    <w:spacing w:before="0" w:after="0" w:line="0" w:lineRule="atLeast"/>
                    <w:jc w:val="center"/>
                  </w:pPr>
                  <w:r>
                    <w:rPr>
                      <w:rFonts w:ascii="楷体" w:hAnsi="楷体" w:eastAsia="楷体"/>
                      <w:sz w:val="18"/>
                    </w:rPr>
                    <w:t>2024年6月20日</w:t>
                  </w:r>
                </w:p>
              </w:tc>
              <w:tc>
                <w:tcPr>
                  <w:tcW w:w="1803" w:type="dxa"/>
                  <w:vAlign w:val="center"/>
                </w:tcPr>
                <w:p>
                  <w:pPr>
                    <w:spacing w:before="0" w:after="0" w:line="0" w:lineRule="atLeast"/>
                    <w:jc w:val="center"/>
                  </w:pPr>
                  <w:r>
                    <w:rPr>
                      <w:rFonts w:ascii="楷体" w:hAnsi="楷体" w:eastAsia="楷体"/>
                      <w:sz w:val="18"/>
                    </w:rPr>
                    <w:t>2025年6月26日</w:t>
                  </w:r>
                </w:p>
              </w:tc>
              <w:tc>
                <w:tcPr>
                  <w:tcW w:w="2701" w:type="dxa"/>
                  <w:vAlign w:val="center"/>
                </w:tcPr>
                <w:p>
                  <w:pPr>
                    <w:spacing w:before="0" w:after="0" w:line="0" w:lineRule="atLeast"/>
                    <w:jc w:val="center"/>
                  </w:pPr>
                  <w:r>
                    <w:rPr>
                      <w:rFonts w:ascii="楷体" w:hAnsi="楷体" w:eastAsia="楷体"/>
                      <w:sz w:val="18"/>
                    </w:rPr>
                    <w:t>A份额3.00%-3.60%</w:t>
                  </w:r>
                  <w:r>
                    <w:rPr>
                      <w:rFonts w:ascii="楷体" w:hAnsi="楷体" w:eastAsia="楷体"/>
                      <w:sz w:val="18"/>
                    </w:rPr>
                    <w:br w:type="textWrapping"/>
                  </w:r>
                  <w:r>
                    <w:rPr>
                      <w:rFonts w:ascii="楷体" w:hAnsi="楷体" w:eastAsia="楷体"/>
                      <w:sz w:val="18"/>
                    </w:rPr>
                    <w:t>B份额3.03%-3.63%</w:t>
                  </w:r>
                  <w:r>
                    <w:rPr>
                      <w:rFonts w:ascii="楷体" w:hAnsi="楷体" w:eastAsia="楷体"/>
                      <w:sz w:val="18"/>
                    </w:rPr>
                    <w:br w:type="textWrapping"/>
                  </w:r>
                  <w:r>
                    <w:rPr>
                      <w:rFonts w:ascii="楷体" w:hAnsi="楷体" w:eastAsia="楷体"/>
                      <w:sz w:val="18"/>
                    </w:rPr>
                    <w:t>D份额3.15%-3.75%</w:t>
                  </w:r>
                  <w:r>
                    <w:rPr>
                      <w:rFonts w:ascii="楷体" w:hAnsi="楷体" w:eastAsia="楷体"/>
                      <w:sz w:val="18"/>
                    </w:rPr>
                    <w:br w:type="textWrapping"/>
                  </w:r>
                  <w:r>
                    <w:rPr>
                      <w:rFonts w:ascii="楷体" w:hAnsi="楷体" w:eastAsia="楷体"/>
                      <w:sz w:val="18"/>
                    </w:rPr>
                    <w:t>F份额3.00%-3.60%</w:t>
                  </w:r>
                  <w:r>
                    <w:rPr>
                      <w:rFonts w:ascii="楷体" w:hAnsi="楷体" w:eastAsia="楷体"/>
                      <w:sz w:val="18"/>
                    </w:rPr>
                    <w:br w:type="textWrapping"/>
                  </w:r>
                  <w:r>
                    <w:rPr>
                      <w:rFonts w:ascii="楷体" w:hAnsi="楷体" w:eastAsia="楷体"/>
                      <w:sz w:val="18"/>
                    </w:rPr>
                    <w:t>G份额 3.05%-3.65%</w:t>
                  </w:r>
                  <w:r>
                    <w:rPr>
                      <w:rFonts w:ascii="楷体" w:hAnsi="楷体" w:eastAsia="楷体"/>
                      <w:sz w:val="18"/>
                    </w:rPr>
                    <w:br w:type="textWrapping"/>
                  </w:r>
                  <w:r>
                    <w:rPr>
                      <w:rFonts w:ascii="楷体" w:hAnsi="楷体" w:eastAsia="楷体"/>
                      <w:sz w:val="18"/>
                    </w:rPr>
                    <w:t>J份额3.10%-3.70%</w:t>
                  </w:r>
                  <w:r>
                    <w:rPr>
                      <w:rFonts w:ascii="楷体" w:hAnsi="楷体" w:eastAsia="楷体"/>
                      <w:sz w:val="18"/>
                    </w:rPr>
                    <w:br w:type="textWrapping"/>
                  </w:r>
                  <w:r>
                    <w:rPr>
                      <w:rFonts w:ascii="楷体" w:hAnsi="楷体" w:eastAsia="楷体"/>
                      <w:sz w:val="18"/>
                    </w:rPr>
                    <w:t>M份额 3.10%-3.70%</w:t>
                  </w:r>
                  <w:r>
                    <w:rPr>
                      <w:rFonts w:ascii="楷体" w:hAnsi="楷体" w:eastAsia="楷体"/>
                      <w:sz w:val="18"/>
                    </w:rPr>
                    <w:br w:type="textWrapping"/>
                  </w:r>
                  <w:r>
                    <w:rPr>
                      <w:rFonts w:ascii="楷体" w:hAnsi="楷体" w:eastAsia="楷体"/>
                      <w:sz w:val="18"/>
                    </w:rPr>
                    <w:t>ZA份额3.00%-3.60%</w:t>
                  </w:r>
                  <w:r>
                    <w:rPr>
                      <w:rFonts w:ascii="楷体" w:hAnsi="楷体" w:eastAsia="楷体"/>
                      <w:sz w:val="18"/>
                    </w:rPr>
                    <w:br w:type="textWrapping"/>
                  </w:r>
                  <w:r>
                    <w:rPr>
                      <w:rFonts w:ascii="楷体" w:hAnsi="楷体" w:eastAsia="楷体"/>
                      <w:sz w:val="18"/>
                    </w:rPr>
                    <w:t>ZF份额3.00%-3.60%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6</w:t>
                  </w:r>
                </w:p>
              </w:tc>
              <w:tc>
                <w:tcPr>
                  <w:tcW w:w="1871" w:type="dxa"/>
                  <w:vAlign w:val="center"/>
                </w:tcPr>
                <w:p>
                  <w:pPr>
                    <w:spacing w:before="0" w:after="0" w:line="0" w:lineRule="atLeast"/>
                    <w:jc w:val="center"/>
                  </w:pPr>
                  <w:r>
                    <w:rPr>
                      <w:rFonts w:ascii="楷体" w:hAnsi="楷体" w:eastAsia="楷体"/>
                      <w:sz w:val="18"/>
                    </w:rPr>
                    <w:t>2025年6月27日</w:t>
                  </w:r>
                </w:p>
              </w:tc>
              <w:tc>
                <w:tcPr>
                  <w:tcW w:w="1803" w:type="dxa"/>
                  <w:vAlign w:val="center"/>
                </w:tcPr>
                <w:p>
                  <w:pPr>
                    <w:spacing w:before="0" w:after="0" w:line="0" w:lineRule="atLeast"/>
                    <w:jc w:val="center"/>
                  </w:pPr>
                  <w:r>
                    <w:rPr>
                      <w:rFonts w:ascii="楷体" w:hAnsi="楷体" w:eastAsia="楷体"/>
                      <w:sz w:val="18"/>
                    </w:rPr>
                    <w:t>2026年7月28日</w:t>
                  </w:r>
                </w:p>
              </w:tc>
              <w:tc>
                <w:tcPr>
                  <w:tcW w:w="2701" w:type="dxa"/>
                  <w:vAlign w:val="center"/>
                </w:tcPr>
                <w:p>
                  <w:pPr>
                    <w:spacing w:before="0" w:after="0" w:line="0" w:lineRule="atLeast"/>
                    <w:jc w:val="center"/>
                  </w:pPr>
                  <w:r>
                    <w:rPr>
                      <w:rFonts w:ascii="楷体" w:hAnsi="楷体" w:eastAsia="楷体"/>
                      <w:sz w:val="18"/>
                    </w:rPr>
                    <w:t>A份额 2.60%-3.20%</w:t>
                  </w:r>
                  <w:r>
                    <w:rPr>
                      <w:rFonts w:ascii="楷体" w:hAnsi="楷体" w:eastAsia="楷体"/>
                      <w:sz w:val="18"/>
                    </w:rPr>
                    <w:br w:type="textWrapping"/>
                  </w:r>
                  <w:r>
                    <w:rPr>
                      <w:rFonts w:ascii="楷体" w:hAnsi="楷体" w:eastAsia="楷体"/>
                      <w:sz w:val="18"/>
                    </w:rPr>
                    <w:t>B份额 2.63%-3.23%</w:t>
                  </w:r>
                  <w:r>
                    <w:rPr>
                      <w:rFonts w:ascii="楷体" w:hAnsi="楷体" w:eastAsia="楷体"/>
                      <w:sz w:val="18"/>
                    </w:rPr>
                    <w:br w:type="textWrapping"/>
                  </w:r>
                  <w:r>
                    <w:rPr>
                      <w:rFonts w:ascii="楷体" w:hAnsi="楷体" w:eastAsia="楷体"/>
                      <w:sz w:val="18"/>
                    </w:rPr>
                    <w:t>D份额 2.75%-3.35%</w:t>
                  </w:r>
                  <w:r>
                    <w:rPr>
                      <w:rFonts w:ascii="楷体" w:hAnsi="楷体" w:eastAsia="楷体"/>
                      <w:sz w:val="18"/>
                    </w:rPr>
                    <w:br w:type="textWrapping"/>
                  </w:r>
                  <w:r>
                    <w:rPr>
                      <w:rFonts w:ascii="楷体" w:hAnsi="楷体" w:eastAsia="楷体"/>
                      <w:sz w:val="18"/>
                    </w:rPr>
                    <w:t>F份额 2.60%-3.20%</w:t>
                  </w:r>
                  <w:r>
                    <w:rPr>
                      <w:rFonts w:ascii="楷体" w:hAnsi="楷体" w:eastAsia="楷体"/>
                      <w:sz w:val="18"/>
                    </w:rPr>
                    <w:br w:type="textWrapping"/>
                  </w:r>
                  <w:r>
                    <w:rPr>
                      <w:rFonts w:ascii="楷体" w:hAnsi="楷体" w:eastAsia="楷体"/>
                      <w:sz w:val="18"/>
                    </w:rPr>
                    <w:t>G份额 2.65%-3.25%</w:t>
                  </w:r>
                  <w:r>
                    <w:rPr>
                      <w:rFonts w:ascii="楷体" w:hAnsi="楷体" w:eastAsia="楷体"/>
                      <w:sz w:val="18"/>
                    </w:rPr>
                    <w:br w:type="textWrapping"/>
                  </w:r>
                  <w:r>
                    <w:rPr>
                      <w:rFonts w:ascii="楷体" w:hAnsi="楷体" w:eastAsia="楷体"/>
                      <w:sz w:val="18"/>
                    </w:rPr>
                    <w:t>J份额 2.70%-3.30%</w:t>
                  </w:r>
                  <w:r>
                    <w:rPr>
                      <w:rFonts w:ascii="楷体" w:hAnsi="楷体" w:eastAsia="楷体"/>
                      <w:sz w:val="18"/>
                    </w:rPr>
                    <w:br w:type="textWrapping"/>
                  </w:r>
                  <w:r>
                    <w:rPr>
                      <w:rFonts w:ascii="楷体" w:hAnsi="楷体" w:eastAsia="楷体"/>
                      <w:sz w:val="18"/>
                    </w:rPr>
                    <w:t>M份额 2.70%-3.30%</w:t>
                  </w:r>
                  <w:r>
                    <w:rPr>
                      <w:rFonts w:ascii="楷体" w:hAnsi="楷体" w:eastAsia="楷体"/>
                      <w:sz w:val="18"/>
                    </w:rPr>
                    <w:br w:type="textWrapping"/>
                  </w:r>
                  <w:r>
                    <w:rPr>
                      <w:rFonts w:ascii="楷体" w:hAnsi="楷体" w:eastAsia="楷体"/>
                      <w:sz w:val="18"/>
                    </w:rPr>
                    <w:t>P份额 2.80%-3.40%</w:t>
                  </w:r>
                  <w:r>
                    <w:rPr>
                      <w:rFonts w:ascii="楷体" w:hAnsi="楷体" w:eastAsia="楷体"/>
                      <w:sz w:val="18"/>
                    </w:rPr>
                    <w:br w:type="textWrapping"/>
                  </w:r>
                  <w:r>
                    <w:rPr>
                      <w:rFonts w:ascii="楷体" w:hAnsi="楷体" w:eastAsia="楷体"/>
                      <w:sz w:val="18"/>
                    </w:rPr>
                    <w:t>W份额 2.80%-3.40%</w:t>
                  </w:r>
                  <w:r>
                    <w:rPr>
                      <w:rFonts w:ascii="楷体" w:hAnsi="楷体" w:eastAsia="楷体"/>
                      <w:sz w:val="18"/>
                    </w:rPr>
                    <w:br w:type="textWrapping"/>
                  </w:r>
                  <w:r>
                    <w:rPr>
                      <w:rFonts w:ascii="楷体" w:hAnsi="楷体" w:eastAsia="楷体"/>
                      <w:sz w:val="18"/>
                    </w:rPr>
                    <w:t>ZA份额 2.60%-3.20%</w:t>
                  </w:r>
                  <w:r>
                    <w:rPr>
                      <w:rFonts w:ascii="楷体" w:hAnsi="楷体" w:eastAsia="楷体"/>
                      <w:sz w:val="18"/>
                    </w:rPr>
                    <w:br w:type="textWrapping"/>
                  </w:r>
                  <w:r>
                    <w:rPr>
                      <w:rFonts w:ascii="楷体" w:hAnsi="楷体" w:eastAsia="楷体"/>
                      <w:sz w:val="18"/>
                    </w:rPr>
                    <w:t>ZF份额 2.60%-3.20%</w:t>
                  </w:r>
                  <w:r>
                    <w:rPr>
                      <w:rFonts w:ascii="楷体" w:hAnsi="楷体" w:eastAsia="楷体"/>
                      <w:sz w:val="18"/>
                    </w:rPr>
                    <w:br w:type="textWrapping"/>
                  </w:r>
                  <w:r>
                    <w:rPr>
                      <w:rFonts w:ascii="楷体" w:hAnsi="楷体" w:eastAsia="楷体"/>
                      <w:sz w:val="18"/>
                    </w:rPr>
                    <w:t>ZN份额 2.79%-3.39%</w:t>
                  </w:r>
                  <w:r>
                    <w:rPr>
                      <w:rFonts w:ascii="楷体" w:hAnsi="楷体" w:eastAsia="楷体"/>
                      <w:sz w:val="18"/>
                    </w:rPr>
                    <w:br w:type="textWrapping"/>
                  </w:r>
                  <w:r>
                    <w:rPr>
                      <w:rFonts w:ascii="楷体" w:hAnsi="楷体" w:eastAsia="楷体"/>
                      <w:sz w:val="18"/>
                    </w:rPr>
                    <w:t>ZQ份额 2.55%-3.15%</w:t>
                  </w:r>
                  <w:r>
                    <w:rPr>
                      <w:rFonts w:ascii="楷体" w:hAnsi="楷体" w:eastAsia="楷体"/>
                      <w:sz w:val="18"/>
                    </w:rPr>
                    <w:br w:type="textWrapping"/>
                  </w:r>
                  <w:r>
                    <w:rPr>
                      <w:rFonts w:ascii="楷体" w:hAnsi="楷体" w:eastAsia="楷体"/>
                      <w:sz w:val="18"/>
                    </w:rPr>
                    <w:t>ZR份额 2.85%-3.45%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hint="eastAsia" w:ascii="楷体" w:hAnsi="楷体" w:eastAsia="楷体"/>
                      <w:sz w:val="18"/>
                      <w:lang w:val="en-US" w:eastAsia="zh-CN"/>
                    </w:rPr>
                    <w:t>7</w:t>
                  </w:r>
                </w:p>
              </w:tc>
              <w:tc>
                <w:tcPr>
                  <w:tcW w:w="1871" w:type="dxa"/>
                  <w:vAlign w:val="center"/>
                </w:tcPr>
                <w:p>
                  <w:pPr>
                    <w:spacing w:before="0" w:after="0" w:line="0" w:lineRule="atLeast"/>
                    <w:jc w:val="center"/>
                  </w:pPr>
                  <w:r>
                    <w:rPr>
                      <w:rFonts w:ascii="楷体" w:hAnsi="楷体" w:eastAsia="楷体"/>
                      <w:sz w:val="18"/>
                    </w:rPr>
                    <w:t>2026年7月29日</w:t>
                  </w:r>
                </w:p>
              </w:tc>
              <w:tc>
                <w:tcPr>
                  <w:tcW w:w="1803" w:type="dxa"/>
                  <w:vAlign w:val="center"/>
                </w:tcPr>
                <w:p>
                  <w:pPr>
                    <w:spacing w:before="0" w:after="0" w:line="0" w:lineRule="atLeast"/>
                    <w:jc w:val="center"/>
                  </w:pPr>
                  <w:r>
                    <w:rPr>
                      <w:rFonts w:ascii="楷体" w:hAnsi="楷体" w:eastAsia="楷体"/>
                      <w:sz w:val="18"/>
                    </w:rPr>
                    <w:t>2027年8月19日</w:t>
                  </w:r>
                </w:p>
              </w:tc>
              <w:tc>
                <w:tcPr>
                  <w:tcW w:w="2701" w:type="dxa"/>
                  <w:vAlign w:val="center"/>
                </w:tcPr>
                <w:p>
                  <w:pPr>
                    <w:spacing w:before="0" w:after="0" w:line="0" w:lineRule="atLeast"/>
                    <w:jc w:val="center"/>
                  </w:pPr>
                  <w:r>
                    <w:rPr>
                      <w:rFonts w:ascii="楷体" w:hAnsi="楷体" w:eastAsia="楷体"/>
                      <w:sz w:val="18"/>
                    </w:rPr>
                    <w:t>A份额2.40%-3.00%</w:t>
                  </w:r>
                  <w:r>
                    <w:rPr>
                      <w:rFonts w:ascii="楷体" w:hAnsi="楷体" w:eastAsia="楷体"/>
                      <w:sz w:val="18"/>
                    </w:rPr>
                    <w:br w:type="textWrapping"/>
                  </w:r>
                  <w:r>
                    <w:rPr>
                      <w:rFonts w:ascii="楷体" w:hAnsi="楷体" w:eastAsia="楷体"/>
                      <w:sz w:val="18"/>
                    </w:rPr>
                    <w:t>B份额2.43%-3.03%</w:t>
                  </w:r>
                  <w:r>
                    <w:rPr>
                      <w:rFonts w:ascii="楷体" w:hAnsi="楷体" w:eastAsia="楷体"/>
                      <w:sz w:val="18"/>
                    </w:rPr>
                    <w:br w:type="textWrapping"/>
                  </w:r>
                  <w:r>
                    <w:rPr>
                      <w:rFonts w:ascii="楷体" w:hAnsi="楷体" w:eastAsia="楷体"/>
                      <w:sz w:val="18"/>
                    </w:rPr>
                    <w:t>C份额2.45%-3.05%</w:t>
                  </w:r>
                  <w:r>
                    <w:rPr>
                      <w:rFonts w:ascii="楷体" w:hAnsi="楷体" w:eastAsia="楷体"/>
                      <w:sz w:val="18"/>
                    </w:rPr>
                    <w:br w:type="textWrapping"/>
                  </w:r>
                  <w:r>
                    <w:rPr>
                      <w:rFonts w:ascii="楷体" w:hAnsi="楷体" w:eastAsia="楷体"/>
                      <w:sz w:val="18"/>
                    </w:rPr>
                    <w:t>D份额2.55%-3.15%</w:t>
                  </w:r>
                  <w:r>
                    <w:rPr>
                      <w:rFonts w:ascii="楷体" w:hAnsi="楷体" w:eastAsia="楷体"/>
                      <w:sz w:val="18"/>
                    </w:rPr>
                    <w:br w:type="textWrapping"/>
                  </w:r>
                  <w:r>
                    <w:rPr>
                      <w:rFonts w:ascii="楷体" w:hAnsi="楷体" w:eastAsia="楷体"/>
                      <w:sz w:val="18"/>
                    </w:rPr>
                    <w:t>F份额2.40%-3.00%</w:t>
                  </w:r>
                  <w:r>
                    <w:rPr>
                      <w:rFonts w:ascii="楷体" w:hAnsi="楷体" w:eastAsia="楷体"/>
                      <w:sz w:val="18"/>
                    </w:rPr>
                    <w:br w:type="textWrapping"/>
                  </w:r>
                  <w:r>
                    <w:rPr>
                      <w:rFonts w:ascii="楷体" w:hAnsi="楷体" w:eastAsia="楷体"/>
                      <w:sz w:val="18"/>
                    </w:rPr>
                    <w:t>G份额2.43%-3.03%</w:t>
                  </w:r>
                  <w:r>
                    <w:rPr>
                      <w:rFonts w:ascii="楷体" w:hAnsi="楷体" w:eastAsia="楷体"/>
                      <w:sz w:val="18"/>
                    </w:rPr>
                    <w:br w:type="textWrapping"/>
                  </w:r>
                  <w:r>
                    <w:rPr>
                      <w:rFonts w:ascii="楷体" w:hAnsi="楷体" w:eastAsia="楷体"/>
                      <w:sz w:val="18"/>
                    </w:rPr>
                    <w:t>J份额2.50%-3.10%</w:t>
                  </w:r>
                  <w:r>
                    <w:rPr>
                      <w:rFonts w:ascii="楷体" w:hAnsi="楷体" w:eastAsia="楷体"/>
                      <w:sz w:val="18"/>
                    </w:rPr>
                    <w:br w:type="textWrapping"/>
                  </w:r>
                  <w:r>
                    <w:rPr>
                      <w:rFonts w:ascii="楷体" w:hAnsi="楷体" w:eastAsia="楷体"/>
                      <w:sz w:val="18"/>
                    </w:rPr>
                    <w:t>M份额2.55%-3.15%</w:t>
                  </w:r>
                  <w:r>
                    <w:rPr>
                      <w:rFonts w:ascii="楷体" w:hAnsi="楷体" w:eastAsia="楷体"/>
                      <w:sz w:val="18"/>
                    </w:rPr>
                    <w:br w:type="textWrapping"/>
                  </w:r>
                  <w:r>
                    <w:rPr>
                      <w:rFonts w:ascii="楷体" w:hAnsi="楷体" w:eastAsia="楷体"/>
                      <w:sz w:val="18"/>
                    </w:rPr>
                    <w:t>P份额2.65%-3.25%</w:t>
                  </w:r>
                  <w:r>
                    <w:rPr>
                      <w:rFonts w:ascii="楷体" w:hAnsi="楷体" w:eastAsia="楷体"/>
                      <w:sz w:val="18"/>
                    </w:rPr>
                    <w:br w:type="textWrapping"/>
                  </w:r>
                  <w:r>
                    <w:rPr>
                      <w:rFonts w:ascii="楷体" w:hAnsi="楷体" w:eastAsia="楷体"/>
                      <w:sz w:val="18"/>
                    </w:rPr>
                    <w:t>W份额2.58%-3.18%</w:t>
                  </w:r>
                  <w:r>
                    <w:rPr>
                      <w:rFonts w:ascii="楷体" w:hAnsi="楷体" w:eastAsia="楷体"/>
                      <w:sz w:val="18"/>
                    </w:rPr>
                    <w:br w:type="textWrapping"/>
                  </w:r>
                  <w:r>
                    <w:rPr>
                      <w:rFonts w:ascii="楷体" w:hAnsi="楷体" w:eastAsia="楷体"/>
                      <w:sz w:val="18"/>
                    </w:rPr>
                    <w:t>GRC份额2.50%-3.10%</w:t>
                  </w:r>
                  <w:r>
                    <w:rPr>
                      <w:rFonts w:ascii="楷体" w:hAnsi="楷体" w:eastAsia="楷体"/>
                      <w:sz w:val="18"/>
                    </w:rPr>
                    <w:br w:type="textWrapping"/>
                  </w:r>
                  <w:r>
                    <w:rPr>
                      <w:rFonts w:ascii="楷体" w:hAnsi="楷体" w:eastAsia="楷体"/>
                      <w:sz w:val="18"/>
                    </w:rPr>
                    <w:t>GS份额2.55%-3.15%</w:t>
                  </w:r>
                  <w:r>
                    <w:rPr>
                      <w:rFonts w:ascii="楷体" w:hAnsi="楷体" w:eastAsia="楷体"/>
                      <w:sz w:val="18"/>
                    </w:rPr>
                    <w:br w:type="textWrapping"/>
                  </w:r>
                  <w:r>
                    <w:rPr>
                      <w:rFonts w:ascii="楷体" w:hAnsi="楷体" w:eastAsia="楷体"/>
                      <w:sz w:val="18"/>
                    </w:rPr>
                    <w:t>S份额2.50%-3.10%</w:t>
                  </w:r>
                  <w:r>
                    <w:rPr>
                      <w:rFonts w:ascii="楷体" w:hAnsi="楷体" w:eastAsia="楷体"/>
                      <w:sz w:val="18"/>
                    </w:rPr>
                    <w:br w:type="textWrapping"/>
                  </w:r>
                  <w:r>
                    <w:rPr>
                      <w:rFonts w:ascii="楷体" w:hAnsi="楷体" w:eastAsia="楷体"/>
                      <w:sz w:val="18"/>
                    </w:rPr>
                    <w:t>U份额2.40%-3.00%</w:t>
                  </w:r>
                  <w:r>
                    <w:rPr>
                      <w:rFonts w:ascii="楷体" w:hAnsi="楷体" w:eastAsia="楷体"/>
                      <w:sz w:val="18"/>
                    </w:rPr>
                    <w:br w:type="textWrapping"/>
                  </w:r>
                  <w:r>
                    <w:rPr>
                      <w:rFonts w:ascii="楷体" w:hAnsi="楷体" w:eastAsia="楷体"/>
                      <w:sz w:val="18"/>
                    </w:rPr>
                    <w:t>L份额2.50%-3.10%</w:t>
                  </w:r>
                  <w:r>
                    <w:rPr>
                      <w:rFonts w:ascii="楷体" w:hAnsi="楷体" w:eastAsia="楷体"/>
                      <w:sz w:val="18"/>
                    </w:rPr>
                    <w:br w:type="textWrapping"/>
                  </w:r>
                  <w:r>
                    <w:rPr>
                      <w:rFonts w:ascii="楷体" w:hAnsi="楷体" w:eastAsia="楷体"/>
                      <w:sz w:val="18"/>
                    </w:rPr>
                    <w:t>Z份额2.40%-3.00%</w:t>
                  </w:r>
                  <w:r>
                    <w:rPr>
                      <w:rFonts w:ascii="楷体" w:hAnsi="楷体" w:eastAsia="楷体"/>
                      <w:sz w:val="18"/>
                    </w:rPr>
                    <w:br w:type="textWrapping"/>
                  </w:r>
                  <w:r>
                    <w:rPr>
                      <w:rFonts w:ascii="楷体" w:hAnsi="楷体" w:eastAsia="楷体"/>
                      <w:sz w:val="18"/>
                    </w:rPr>
                    <w:t>Z1份额2.50%-3.10%</w:t>
                  </w:r>
                  <w:r>
                    <w:rPr>
                      <w:rFonts w:ascii="楷体" w:hAnsi="楷体" w:eastAsia="楷体"/>
                      <w:sz w:val="18"/>
                    </w:rPr>
                    <w:br w:type="textWrapping"/>
                  </w:r>
                  <w:r>
                    <w:rPr>
                      <w:rFonts w:ascii="楷体" w:hAnsi="楷体" w:eastAsia="楷体"/>
                      <w:sz w:val="18"/>
                    </w:rPr>
                    <w:t>Z2份额2.55%-3.15%</w:t>
                  </w:r>
                  <w:r>
                    <w:rPr>
                      <w:rFonts w:ascii="楷体" w:hAnsi="楷体" w:eastAsia="楷体"/>
                      <w:sz w:val="18"/>
                    </w:rPr>
                    <w:br w:type="textWrapping"/>
                  </w:r>
                  <w:r>
                    <w:rPr>
                      <w:rFonts w:ascii="楷体" w:hAnsi="楷体" w:eastAsia="楷体"/>
                      <w:sz w:val="18"/>
                    </w:rPr>
                    <w:t>ZA份额2.40%-3.00%</w:t>
                  </w:r>
                  <w:r>
                    <w:rPr>
                      <w:rFonts w:ascii="楷体" w:hAnsi="楷体" w:eastAsia="楷体"/>
                      <w:sz w:val="18"/>
                    </w:rPr>
                    <w:br w:type="textWrapping"/>
                  </w:r>
                  <w:r>
                    <w:rPr>
                      <w:rFonts w:ascii="楷体" w:hAnsi="楷体" w:eastAsia="楷体"/>
                      <w:sz w:val="18"/>
                    </w:rPr>
                    <w:t>ZF份额2.40%-3.00%</w:t>
                  </w:r>
                  <w:r>
                    <w:rPr>
                      <w:rFonts w:ascii="楷体" w:hAnsi="楷体" w:eastAsia="楷体"/>
                      <w:sz w:val="18"/>
                    </w:rPr>
                    <w:br w:type="textWrapping"/>
                  </w:r>
                  <w:r>
                    <w:rPr>
                      <w:rFonts w:ascii="楷体" w:hAnsi="楷体" w:eastAsia="楷体"/>
                      <w:sz w:val="18"/>
                    </w:rPr>
                    <w:t>ZF2份额2.55%-3.15%</w:t>
                  </w:r>
                  <w:r>
                    <w:rPr>
                      <w:rFonts w:ascii="楷体" w:hAnsi="楷体" w:eastAsia="楷体"/>
                      <w:sz w:val="18"/>
                    </w:rPr>
                    <w:br w:type="textWrapping"/>
                  </w:r>
                  <w:r>
                    <w:rPr>
                      <w:rFonts w:ascii="楷体" w:hAnsi="楷体" w:eastAsia="楷体"/>
                      <w:sz w:val="18"/>
                    </w:rPr>
                    <w:t>ZF3份额2.45%-3.05%</w:t>
                  </w:r>
                  <w:r>
                    <w:rPr>
                      <w:rFonts w:ascii="楷体" w:hAnsi="楷体" w:eastAsia="楷体"/>
                      <w:sz w:val="18"/>
                    </w:rPr>
                    <w:br w:type="textWrapping"/>
                  </w:r>
                  <w:r>
                    <w:rPr>
                      <w:rFonts w:ascii="楷体" w:hAnsi="楷体" w:eastAsia="楷体"/>
                      <w:sz w:val="18"/>
                    </w:rPr>
                    <w:t>ZF4份额2.60%-3.20%</w:t>
                  </w:r>
                  <w:r>
                    <w:rPr>
                      <w:rFonts w:ascii="楷体" w:hAnsi="楷体" w:eastAsia="楷体"/>
                      <w:sz w:val="18"/>
                    </w:rPr>
                    <w:br w:type="textWrapping"/>
                  </w:r>
                  <w:r>
                    <w:rPr>
                      <w:rFonts w:ascii="楷体" w:hAnsi="楷体" w:eastAsia="楷体"/>
                      <w:sz w:val="18"/>
                    </w:rPr>
                    <w:t>ZF5份额2.55%-3.15%</w:t>
                  </w:r>
                  <w:r>
                    <w:rPr>
                      <w:rFonts w:ascii="楷体" w:hAnsi="楷体" w:eastAsia="楷体"/>
                      <w:sz w:val="18"/>
                    </w:rPr>
                    <w:br w:type="textWrapping"/>
                  </w:r>
                  <w:r>
                    <w:rPr>
                      <w:rFonts w:ascii="楷体" w:hAnsi="楷体" w:eastAsia="楷体"/>
                      <w:sz w:val="18"/>
                    </w:rPr>
                    <w:t>ZJ份额2.70%-3.30%</w:t>
                  </w:r>
                  <w:r>
                    <w:rPr>
                      <w:rFonts w:ascii="楷体" w:hAnsi="楷体" w:eastAsia="楷体"/>
                      <w:sz w:val="18"/>
                    </w:rPr>
                    <w:br w:type="textWrapping"/>
                  </w:r>
                  <w:r>
                    <w:rPr>
                      <w:rFonts w:ascii="楷体" w:hAnsi="楷体" w:eastAsia="楷体"/>
                      <w:sz w:val="18"/>
                    </w:rPr>
                    <w:t>ZL份额2.55%-3.15%</w:t>
                  </w:r>
                  <w:r>
                    <w:rPr>
                      <w:rFonts w:ascii="楷体" w:hAnsi="楷体" w:eastAsia="楷体"/>
                      <w:sz w:val="18"/>
                    </w:rPr>
                    <w:br w:type="textWrapping"/>
                  </w:r>
                  <w:r>
                    <w:rPr>
                      <w:rFonts w:hint="eastAsia" w:ascii="楷体" w:hAnsi="楷体" w:eastAsia="楷体"/>
                      <w:sz w:val="18"/>
                    </w:rPr>
                    <w:t>天府·优选份额</w:t>
                  </w:r>
                  <w:r>
                    <w:rPr>
                      <w:rFonts w:ascii="楷体" w:hAnsi="楷体" w:eastAsia="楷体"/>
                      <w:sz w:val="18"/>
                    </w:rPr>
                    <w:t>2.55%-3.15%</w:t>
                  </w:r>
                  <w:r>
                    <w:rPr>
                      <w:rFonts w:ascii="楷体" w:hAnsi="楷体" w:eastAsia="楷体"/>
                      <w:sz w:val="18"/>
                    </w:rPr>
                    <w:br w:type="textWrapping"/>
                  </w:r>
                  <w:r>
                    <w:rPr>
                      <w:rFonts w:ascii="楷体" w:hAnsi="楷体" w:eastAsia="楷体"/>
                      <w:sz w:val="18"/>
                    </w:rPr>
                    <w:t>ZN份额2.55%-3.15%</w:t>
                  </w:r>
                  <w:r>
                    <w:rPr>
                      <w:rFonts w:ascii="楷体" w:hAnsi="楷体" w:eastAsia="楷体"/>
                      <w:sz w:val="18"/>
                    </w:rPr>
                    <w:br w:type="textWrapping"/>
                  </w:r>
                  <w:r>
                    <w:rPr>
                      <w:rFonts w:ascii="楷体" w:hAnsi="楷体" w:eastAsia="楷体"/>
                      <w:sz w:val="18"/>
                    </w:rPr>
                    <w:t>ZQ份额2.40%-3.00%</w:t>
                  </w:r>
                  <w:r>
                    <w:rPr>
                      <w:rFonts w:ascii="楷体" w:hAnsi="楷体" w:eastAsia="楷体"/>
                      <w:sz w:val="18"/>
                    </w:rPr>
                    <w:br w:type="textWrapping"/>
                  </w:r>
                  <w:r>
                    <w:rPr>
                      <w:rFonts w:ascii="楷体" w:hAnsi="楷体" w:eastAsia="楷体"/>
                      <w:sz w:val="18"/>
                    </w:rPr>
                    <w:t>ZC份额2.45%-3.05%</w:t>
                  </w:r>
                  <w:r>
                    <w:rPr>
                      <w:rFonts w:ascii="楷体" w:hAnsi="楷体" w:eastAsia="楷体"/>
                      <w:sz w:val="18"/>
                    </w:rPr>
                    <w:br w:type="textWrapping"/>
                  </w:r>
                  <w:r>
                    <w:rPr>
                      <w:rFonts w:ascii="楷体" w:hAnsi="楷体" w:eastAsia="楷体"/>
                      <w:sz w:val="18"/>
                    </w:rPr>
                    <w:t>ZK份额2.55%-3.15%</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0.55%，B份额 0.55%，C份额 0.55%，D份额 0.55%，F份额 0.65%，G份额 0.55%，J份额 0.55%，M份额 0.55%，P份额 0.45%，W份额 0.52%，GRC份额 0.65%，GS份额 0.55%，S份额 0.65%，U份额 0.60%，L份额 0.52%，Z份额 0.70%，Z1份额 0.60%，Z2份额 0.55%，ZA份额 0.65%，ZF份额 0.65%，ZF2份额 0.60%，ZF3份额 0.65%，ZF4份额 0.55%，ZF5份额 0.65%，ZJ份额 0.45%，ZL份额 0.50%，天府·优选份额 0.65%，ZN份额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0.70%，G份额 0.77%，J份额 0.70%，M份额 0.65%，P份额 0.65%，W份额 0.65%，GRC份额 0.60%，GS份额 0.65%，S份额 0.60%，U份额 0.75%，L份额 0.73%，Z份额 0.65%，Z1份额 0.65%，Z2份额 0.65%，ZA份额 0.70%，ZF份额 0.70%，ZF2份额 0.60%，ZF3份额 0.65%，ZF4份额 0.60%，ZF5份额 0.55%，ZJ份额 0.60%，ZL份额 0.70%，天府·优选份额 0.55%，ZN份额 0.65%，ZQ份额 0.70%，ZC份额 0.70%，ZK份额 0.70%。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溧水农村商业银行股份有限公司/江苏阜宁农村商业银行股份有限公司/九江银行股份有限公司/江苏靖江农村商业银行股份有限公司/江苏盱眙农村商业银行股份有限公司/江苏江阴农村商业银行股份有限公司/江苏紫金农村商业银行股份有限公司/江苏新沂农村商业银行股份有限公司/江苏如东农村商业银行股份有限公司/江苏丹阳农村商业银行股份有限公司/江苏淮安农村商业银行股份有限公司/江苏如皋农村商业银行股份有限公司/江苏涟水农村商业银行股份有限公司/江苏海安农村商业银行股份有限公司/江苏银行股份有限公司/江苏东台农村商业银行股份有限公司/江苏仪征农村商业银行股份有限公司/江苏扬中农村商业银行股份有限公司/江苏洪泽农村商业银行股份有限公司/江苏南通农村商业银行股份有限公司/江苏句容农村商业银行股份有限公司/江苏泰兴农村商业银行股份有限公司/江苏扬州农村商业银行股份有限公司/江苏邳州农村商业银行股份有限公司/江苏高邮农村商业银行股份有限公司/江苏宜兴农村商业银行股份有限公司/江苏沭阳农村商业银行股份有限公司/江苏高淳农村商业银行股份有限公司/宁波东海银行股份有限公司/齐鲁银行股份有限公司/上海农村商业银行股份有限公司/苏银理财有限责任公司/上海银行股份有限公司/威海银行股份有限公司/兴业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溧水农村商业银行股份有限公司/江苏阜宁农村商业银行股份有限公司/江苏靖江农村商业银行股份有限公司/江苏盱眙农村商业银行股份有限公司/江苏紫金农村商业银行股份有限公司/江苏新沂农村商业银行股份有限公司/江苏如东农村商业银行股份有限公司/江苏丹阳农村商业银行股份有限公司/江苏淮安农村商业银行股份有限公司/江苏如皋农村商业银行股份有限公司/江苏苏州农村商业银行股份有限公司/江苏涟水农村商业银行股份有限公司/江苏海安农村商业银行股份有限公司/江苏银行股份有限公司/江苏常熟农村商业银行股份有限公司/江苏东台农村商业银行股份有限公司/江苏仪征农村商业银行股份有限公司/江苏扬中农村商业银行股份有限公司/江苏洪泽农村商业银行股份有限公司/江苏南通农村商业银行股份有限公司/江苏句容农村商业银行股份有限公司/江苏泰兴农村商业银行股份有限公司/江苏扬州农村商业银行股份有限公司/江苏邳州农村商业银行股份有限公司/江苏宜兴农村商业银行股份有限公司/江苏沭阳农村商业银行股份有限公司/江苏高淳农村商业银行股份有限公司/江苏高邮农村商业银行股份有限公司/宁波东海银行股份有限公司/齐鲁银行股份有限公司/苏银理财有限责任公司/威海银行股份有限公司/兴业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广州银行股份有限公司/甘肃银行股份有限公司/广州农村商业银行股份有限公司/杭州联合农村商业银行股份有限公司/华侨银行有限公司/九江银行股份有限公司/交通银行股份有限公司/宁波余姚农村商业银行股份有限公司/宁波慈溪农村商业银行股份有限公司/宁波通商银行股份有限公司/宁波镇海农村商业银行股份有限公司/日照银行股份有限公司/苏州银行股份有限公司/山西银行股份有限公司/深圳农村商业银行股份有限公司/泰安银行股份有限公司/天津滨海农村商业银行股份有限公司/台州银行股份有限公司/潍坊银行股份有限公司/兴业银行股份有限公司/浙江上虞农村商业银行股份有限公司/浙江泰顺农村商业银行股份有限公司/浙江乐清农村商业银行股份有限公司/浙江江山农村商业银行股份有限公司/浙江永康农村商业银行股份有限公司/浙江岱山农村商业银行股份有限公司/中邮邮惠万家银行有限责任公司/浙江桐庐农村商业银行股份有限公司/浙江舟山定海海洋农村商业银行股份有限公司/浙江嘉善农村商业银行股份有限公司/浙江海宁农村商业银行股份有限公司/浙江萧山农村商业银行股份有限公司/浙江临海农村商业银行股份有限公司/浙江武义农村商业银行股份有限公司/浙江长兴农村商业银行股份有限公司/浙商银行股份有限公司/浙江杭州余杭农村商业银行股份有限公司/浙江温州瓯海农村商业银行股份有限公司/浙江温州龙湾农村商业银行股份有限公司/浙江德清农村商业银行股份有限公司/浙江青田农村商业银行股份有限公司/浙江义乌农村商业银行股份有限公司/浙江开化农村商业银行股份有限公司/浙江永嘉农村商业银行股份有限公司/浙江淳安农村商业银行股份有限公司/浙江绍兴瑞丰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农村商业银行股份有限公司/徽商银行股份有限公司/杭州联合农村商业银行股份有限公司/宁波通商银行股份有限公司/深圳农村商业银行股份有限公司/山西银行股份有限公司/兴业银行股份有限公司/浙江嘉善农村商业银行股份有限公司/浙江海宁农村商业银行股份有限公司/浙商银行股份有限公司/浙江杭州余杭农村商业银行股份有限公司/浙江温州瓯海农村商业银行股份有限公司/浙江德清农村商业银行股份有限公司/浙江绍兴瑞丰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J份额:江苏银行股份有限公司/江苏如皋农村商业银行股份有限公司/上海银行股份有限公司/威海银行股份有限公司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M份额:徽商银行股份有限公司/宁波通商银行股份有限公司/兴业银行股份有限公司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P份额:甘肃银行股份有限公司/徽商银行股份有限公司/泰安银行股份有限公司/郑州银行股份有限公司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W份额:徽商银行股份有限公司/苏银理财有限责任公司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GRC份额:广州农村商业银行股份有限公司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GS份额:甘肃银行股份有限公司/秦皇岛银行股份有限公司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S份额:晋商银行股份有限公司/山西银行股份有限公司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L份额:深圳农村商业银行股份有限公司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Z份额:江苏东台农村商业银行股份有限公司/上海农村商业银行股份有限公司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Z1份额：上海农村商业银行股份有限公司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Z2份额：上海农村商业银行股份有限公司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ZA份额:江苏泗阳农村商业银行股份有限公司/江苏溧水农村商业银行股份有限公司/江苏姜堰农村商业银行股份有限公司/江苏阜宁农村商业银行股份有限公司/江苏靖江农村商业银行股份有限公司/江苏盱眙农村商业银行股份有限公司/江苏灌南农村商业银行股份有限公司/江苏紫金农村商业银行股份有限公司/江苏新沂农村商业银行股份有限公司/江苏如东农村商业银行股份有限公司/江苏响水农村商业银行股份有限公司/江苏丹阳农村商业银行股份有限公司/江苏泗洪农村商业银行股份有限公司/江苏海门农村商业银行股份有限公司/江苏丰县农村商业银行股份有限公司/江苏民丰农村商业银行股份有限公司/江苏淮安农村商业银行股份有限公司/江苏如皋农村商业银行股份有限公司/江苏苏州农村商业银行股份有限公司/江苏涟水农村商业银行股份有限公司/江苏海安农村商业银行股份有限公司/江苏常熟农村商业银行股份有限公司/江苏东台农村商业银行股份有限公司/江苏仪征农村商业银行股份有限公司/江苏睢宁农村商业银行股份有限公司/江苏扬中农村商业银行股份有限公司/江苏洪泽农村商业银行股份有限公司/江苏镇江农村商业银行股份有限公司/江苏南通农村商业银行股份有限公司/江苏句容农村商业银行股份有限公司/江苏江都农村商业银行股份有限公司/江苏泰兴农村商业银行股份有限公司/江苏扬州农村商业银行股份有限公司/江苏邳州农村商业银行股份有限公司/江苏灌云农村商业银行股份有限公司/江苏东海农村商业银行股份有限公司/江苏宜兴农村商业银行股份有限公司/江苏大丰农村商业银行股份有限公司/江苏启东农村商业银行股份有限公司/江苏金湖农村商业银行股份有限公司/江苏沭阳农村商业银行股份有限公司/江苏高淳农村商业银行股份有限公司/江苏建湖农村商业银行股份有限公司/江苏高邮农村商业银行股份有限公司/江苏盐城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汉口银行股份有限公司/河北银行股份有限公司/江苏张家港农村商业银行股份有限公司/江苏江南农村商业银行股份有限公司/嘉兴银行股份有限公司/莱商银行股份有限公司/宁波余姚农村商业银行股份有限公司/宁波慈溪农村商业银行股份有限公司/宁波甬城农村商业银行股份有限公司/宁波镇海农村商业银行股份有限公司/苏州银行股份有限公司/厦门银行股份有限公司/兴业银行股份有限公司/浙江临安农村商业银行股份有限公司/浙江上虞农村商业银行股份有限公司/浙江泰顺农村商业银行股份有限公司/浙江兰溪农村商业银行股份有限公司/浙江江山农村商业银行股份有限公司/浙江永康农村商业银行股份有限公司/浙江岱山农村商业银行股份有限公司/浙江南浔农村商业银行股份有限公司/浙江嘉善农村商业银行股份有限公司/浙江萧山农村商业银行股份有限公司/浙江民泰商业银行股份有限公司/浙江衢州柯城农村商业银行股份有限公司/浙江临海农村商业银行股份有限公司/浙江武义农村商业银行股份有限公司/浙江浦江农村商业银行股份有限公司/浙江新昌农村商业银行股份有限公司/浙江杭州余杭农村商业银行股份有限公司/浙江温州瓯海农村商业银行股份有限公司/浙江温州龙湾农村商业银行股份有限公司/浙江德清农村商业银行股份有限公司/浙江嵊州农村商业银行股份有限公司/浙江青田农村商业银行股份有限公司/浙江义乌农村商业银行股份有限公司/浙江东阳农村商业银行股份有限公司/浙江开化农村商业银行股份有限公司/浙江温岭农村商业银行股份有限公司/浙江衢州衢江农村商业银行股份有限公司/浙江龙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3份额:江门农村商业银行股份有限公司/浙江南浔农村商业银行股份有限公司/浙江松阳农村商业银行股份有限公司/浙江新昌农村商业银行股份有限公司/浙江泰顺农村商业银行股份有限公司/中山农村商业银行股份有限公司/浙江兰溪农村商业银行股份有限公司/浙江嵊州农村商业银行股份有限公司/浙江衢州衢江农村商业银行股份有限公司/浙江开化农村商业银行股份有限公司/浙江衢州柯城农村商业银行股份有限公司/浙江青田农村商业银行股份有限公司/浙江龙泉农村商业银行股份有限公司/浙江东阳农村商业银行股份有限公司/浙江临海农村商业银行股份有限公司/浙江武义农村商业银行股份有限公司/浙江浦江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ZF4份额:石嘴山银行股份有限公司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ZF5份额:嘉兴银行股份有限公司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宁波通商银行股份有限公司/苏银理财有限责任公司/泰安银行股份有限公司/浙江诸暨农村商业银行股份有限公司/浙江上虞农村商业银行股份有限公司/浙江台州路桥农村商业银行股份有限公司/浙江泰顺农村商业银行股份有限公司/浙江台州黄岩农村商业银行股份有限公司/浙江乐清农村商业银行股份有限公司/浙江兰溪农村商业银行股份有限公司/浙江文成农村商业银行股份有限公司/浙江江山农村商业银行股份有限公司/浙江平湖农村商业银行股份有限公司/浙江永康农村商业银行股份有限公司/浙江岱山农村商业银行股份有限公司/浙江南浔农村商业银行股份有限公司/浙江舟山定海海洋农村商业银行股份有限公司/浙江缙云农村商业银行股份有限公司/浙江仙居农村商业银行股份有限公司/浙江嘉善农村商业银行股份有限公司/浙江海宁农村商业银行股份有限公司/浙江绍兴恒信农村商业银行股份有限公司/浙江金华成泰农村商业银行股份有限公司/浙江海盐农村商业银行股份有限公司/浙江遂昌农村商业银行股份有限公司/浙江龙游农村商业银行股份有限公司/浙江衢州柯城农村商业银行股份有限公司/浙江苍南农村商业银行股份有限公司/浙江临海农村商业银行股份有限公司/浙江武义农村商业银行股份有限公司/浙江浦江农村商业银行股份有限公司/浙江长兴农村商业银行股份有限公司/浙江新昌农村商业银行股份有限公司/浙江温州瓯海农村商业银行股份有限公司/浙江温州龙湾农村商业银行股份有限公司/浙江德清农村商业银行股份有限公司/浙江嵊州农村商业银行股份有限公司/浙江青田农村商业银行股份有限公司/浙江义乌农村商业银行股份有限公司/浙江东阳农村商业银行股份有限公司/浙江开化农村商业银行股份有限公司/浙江瑞安农村商业银行股份有限公司/浙江温岭农村商业银行股份有限公司/浙江桐乡农村商业银行股份有限公司/浙江温州鹿城农村商业银行股份有限公司/浙江永嘉农村商业银行股份有限公司/浙江舟山普陀农村商业银行股份有限公司/浙江安吉农村商业银行股份有限公司/浙江禾城农村商业银行股份有限公司/浙江绍兴瑞丰农村商业银行股份有限公司/浙江衢州衢江农村商业银行股份有限公司/浙江龙泉农村商业银行股份有限公司/浙江天台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天府·优选份额:成都农村商业银行股份有限公司/苏银理财有限责任公司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泗阳农村商业银行股份有限公司/江苏溧水农村商业银行股份有限公司/江苏姜堰农村商业银行股份有限公司/江苏阜宁农村商业银行股份有限公司/江苏灌南农村商业银行股份有限公司/江苏紫金农村商业银行股份有限公司/江苏新沂农村商业银行股份有限公司/江苏如东农村商业银行股份有限公司/江苏响水农村商业银行股份有限公司/江苏丹阳农村商业银行股份有限公司/江苏沛县农村商业银行股份有限公司/江苏民丰农村商业银行股份有限公司/江苏如皋农村商业银行股份有限公司/江苏海安农村商业银行股份有限公司/江苏常熟农村商业银行股份有限公司/江苏东台农村商业银行股份有限公司/江苏仪征农村商业银行股份有限公司/江苏滨海农村商业银行股份有限公司/江苏兴化农村商业银行股份有限公司/江苏江都农村商业银行股份有限公司/江苏泰兴农村商业银行股份有限公司/江苏扬州农村商业银行股份有限公司/江苏东海农村商业银行股份有限公司/江苏宜兴农村商业银行股份有限公司/江苏大丰农村商业银行股份有限公司/江苏高淳农村商业银行股份有限公司/江苏建湖农村商业银行股份有限公司/江苏高邮农村商业银行股份有限公司/江苏盐城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泗阳农村商业银行股份有限公司/江苏溧水农村商业银行股份有限公司/江苏姜堰农村商业银行股份有限公司/江苏阜宁农村商业银行股份有限公司/江苏灌南农村商业银行股份有限公司/江苏紫金农村商业银行股份有限公司/江苏新沂农村商业银行股份有限公司/江苏如东农村商业银行股份有限公司/江苏响水农村商业银行股份有限公司/江苏丹阳农村商业银行股份有限公司/江苏沛县农村商业银行股份有限公司/江苏民丰农村商业银行股份有限公司/江苏如皋农村商业银行股份有限公司/江苏海安农村商业银行股份有限公司/江苏常熟农村商业银行股份有限公司/江苏东台农村商业银行股份有限公司/江苏仪征农村商业银行股份有限公司/江苏滨海农村商业银行股份有限公司/江苏南通农村商业银行股份有限公司/江苏兴化农村商业银行股份有限公司/江苏江都农村商业银行股份有限公司/江苏泰兴农村商业银行股份有限公司/江苏扬州农村商业银行股份有限公司/江苏宜兴农村商业银行股份有限公司/江苏大丰农村商业银行股份有限公司/江苏高淳农村商业银行股份有限公司/江苏建湖农村商业银行股份有限公司/江苏高邮农村商业银行股份有限公司/江苏盐城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非标准化债权类资产：融资人为台州市黄岩国有资本投资运营集团有限公司。融资人经营正常，是依法设立的国有公司，主要股东为台州市黄岩区财政局，实际控制人为台州市黄岩区财政局。（2）非标准化债权类资产：融资人为镇江文化广电产业集团有限公司。融资人经营正常，是依法设立的国有公司，主要股东为镇江市广播电视台，实际控制人为江苏省镇江市人民政府。（3）非标准化</w:t>
      </w:r>
      <w:bookmarkStart w:id="0" w:name="_GoBack"/>
      <w:bookmarkEnd w:id="0"/>
      <w:r>
        <w:rPr>
          <w:rFonts w:hint="eastAsia" w:ascii="楷体" w:hAnsi="楷体" w:eastAsia="楷体" w:cs="楷体"/>
          <w:color w:val="auto"/>
          <w:kern w:val="2"/>
          <w:sz w:val="21"/>
          <w:szCs w:val="21"/>
          <w:highlight w:val="none"/>
          <w:lang w:val="en-US" w:eastAsia="zh-CN" w:bidi="ar-SA"/>
        </w:rPr>
        <w:t>债权类资产：融资人为绍兴市镜湖开发集团有限公司。融资人经营正常，是依法设立的国有公司，主要股东为绍兴市人民政府国有资产监督管理委员会，实际控制人为绍兴市人民政府国有资产监督管理委员会。（4）非标准化债权类资产：融资人为泰兴市城市投资发展集团有限公司。融资人经营正常，是依法设立的国有公司，主要股东为江苏平仲科技发展集团有限公司，实际控制人为泰兴市人民政府国有资产监督管理办公室。（5）非标准化债权类资产：融资人为湖州经开投资发展集团有限公司。融资人经营正常，是依法设立的国有公司，主要股东为湖州南太湖国有控股集团有限公司，实际控制人为湖州市人民政府国有资产监督管理委员会。（6）非标准化债权类资产：融资人为湖州吴兴城市投资发展集团有限公司。融资人经营正常，是依法设立的国有公司，主要股东为湖州吴兴国控投资运营发展集团有限公司，实际控制人为湖州市吴兴区财政局。（7）非标准化债权类资产：融资人为江苏皋开投资发展集团有限公司。融资人经营正常，是依法设立的国有公司，主要股东为如皋市人民政府，实际控制人为如皋市人民政府。（8）非标准化债权类资产：融资人为燕舞集团有限公司。融资人经营正常，是依法设立的国有公司，主要股东为盐城市人民政府、盐城市城市资产投资集团有限公司、江苏悦达集团有限公司，实际控制人为盐城市人民政府。（9）非标准化债权类资产：融资人为兰溪市城市投资集团有限公司。融资人经营正常，是依法设立的国有公司，主要股东为兰溪市城市发展集团有限公司，实际控制人为兰溪市人民政府国有资产监督管理办公室。（10）非标准化债权类资产：融资人为绍兴市越城区城市发展建设集团有限公司。融资人经营正常，是依法设立的国有公司，主要股东为绍兴市越城区财政局，实际控制人为绍兴市越城区财政局。（11）非标准化债权类资产：融资人为桐庐县城市建设投资集团有限公司。融资人经营正常，是依法设立的国有公司，主要股东为桐庐投资建设发展集团有限公司，实际控制人为桐庐县人民政府国有资产监督管理委员会。（12）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13）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14）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15）非标准化债权类资产：融资人为海安市城建开发投资集团有限公司。融资人经营正常，是依法设立的国有公司，主要股东为海安市政府国有资产监督管理办公室，实际控制人为海安市政府国有资产监督管理办公室。（16）非标准化债权类资产：融资人为徐州金龙湖控股集团有限公司。融资人经营正常，是依法设立的国有公司，主要股东为徐州市产业发展控股集团有限公司，实际控制人为徐州市人民政府国有资产监督管理委员会。（17）非标准化债权类资产：融资人为杭州富阳城市建设投资集团有限公司。融资人经营正常，是依法设立的国有公司，主要股东为杭州市富阳区人民政府国有资产监督管理办公室，实际控制人为杭州市富阳区人民政府国有资产监督管理办公室。（18）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19）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20）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21）同业借款：融资人为中国中信金融资产管理股份有限公司。融资人经营正常，是依法成立的国有公司，主要股东为中国中信集团有限公司、财政局、中国融信私募基金有限公司，实际控制人为财政部。（22）同业借款：融资人为中国东方资产管理股份有限公司。融资人经营正常，是依法成立的国有公司，主要股东为中央汇金投资有限责任公司、全国社会保障基金理事会、中国电信集团有限公司，实际控制人为国务院。（23）同业借款：融资人为中国信达资产管理股份有限公司。融资人经营正常，是依法成立的国有公司，主要股东为中央汇金投资有限责任公司，实际控制人为国务院。（24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28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29）收益凭证：融资人为华泰证券股份有限公司。融资人经营正常，是依法设立的持牌金融机构，主要股东为江苏省国信集团有限公司、香港中央结算（代理人）有限公司、江苏交通控股有限公司，无实际控制人。（30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31）收益凭证：融资人为申万宏源证券有限公司。融资人经营正常，是依法设立的持牌金融机构，主要股东为申万宏源集团股份有限公司，实际控制人为中央汇金投资有限责任公司。（32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33）收益凭证：融资人为浙商证券股份有限公司。融资人经营正常，是依法设立的持牌金融机构，主要股东为浙江上三高速公路有限公司、台州市金融投资集团有限公司，实际控制人为浙江省交通投资集团有限公司。（34）收益凭证：融资人为国投证券股份有限公司。融资人经营正常，是依法设立的持牌金融机构，主要股东为国投资本股份有限公司、上海毅胜投资有限公司，实际控制人为国家开发投资集团有限公司。（35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37）收益凭证：融资人为兴业证券股份有限公司。融资人经营正常，是依法设立的持牌金融机构，主要股东为福建省财政厅、福建省投资开发集团有限责任公司、上海申新（集团）有限公司，实际控制人为福建省财政厅。（38）收益凭证：融资人为财通证券股份有限公司。融资人经营正常，是依法设立的持牌金融机构，主要股东为浙江省创新投资集团有限公司、浙江省财开集团有限公司、台州市金融投资集团有限公司，实际控制人为浙江省财政厅。（39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40）收益凭证：融资人为东海证券股份有限公司。融资人经营正常，是依法设立的持牌金融机构，主要股东为常州投资集团有限公司、山东金控资本管理有限公司，实际控制人为常州投资集团有限公司。（41）收益凭证：融资人为国联民生证券股份有限公司。融资人经营正常，是依法设立的持牌金融机构，主要股东为无锡市国联发展（集团）有限公司、香港中央结算（代理人）有限公司、国联信托股份有限公司，实际控制人为无锡</w:t>
      </w:r>
      <w:r>
        <w:rPr>
          <w:rFonts w:hint="eastAsia" w:ascii="楷体" w:hAnsi="楷体" w:eastAsia="楷体" w:cs="楷体"/>
          <w:color w:val="auto"/>
          <w:kern w:val="2"/>
          <w:sz w:val="21"/>
          <w:szCs w:val="21"/>
          <w:highlight w:val="none"/>
          <w:lang w:val="en-US" w:eastAsia="zh-CN" w:bidi="ar-SA"/>
        </w:rPr>
        <w:t>市人民政府国有资产监督管理委员会。（42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44）收益凭证：融资人为中国中金财富证券有限公司。融资人经营正常，是依法设立的持牌金融机构，主要股东为中国国际金融股份有限公司，实际控制人为中央汇金投资有限责任公司。（45）收益凭证：融资人为山西证券股份有限公司。融资人经营正常，是依法设立的持牌金融机构，主要股东为山西金融投资控股集团有限公司、太原钢铁（集团）有限公司、山西国际电力集团有限公司，实际控制人为山西省财政厅。（46）收益凭证：融资人为国都证券股份有限公司。融资人经营正常，是依法设立的持牌金融机构，主要股东为浙商证券股份有限公司、中诚信托有限责任公司、北京国际信托有限公司，实际控制人为浙江省交通投资集团有限公司。（47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48）收益凭证：融资人为华鑫证券有限责任公司。融资人经营正常，是依法设立的持牌金融机构，主要股东为上海华鑫股份有限公司，实际控制人为上海市国有资产监督管理委员会。（49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51）收益凭证：融资人为广发证券股份有限公司。融资人经营正常，是依法设立的持牌金融机构，主要股东为香港中央结算（代理人）有限公司、吉林敖东药业集团股份有限公司、辽宁成大股份有限公司，无实际控制人。（52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1）-（24）各资产到期日不超过理财产品投资周期终止日，定期付息、到期一次性还本；（25）-（53）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jc w:val="left"/>
        <w:rPr>
          <w:rFonts w:hint="eastAsia"/>
          <w:highlight w:val="none"/>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034E17"/>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9DB76C8"/>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8E00C7"/>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2026-07-14T10:44:50Z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